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4C" w:rsidRPr="005A2E7D" w:rsidRDefault="003A5C4C" w:rsidP="003A5C4C">
      <w:pPr>
        <w:jc w:val="left"/>
        <w:rPr>
          <w:sz w:val="24"/>
        </w:rPr>
      </w:pPr>
      <w:bookmarkStart w:id="0" w:name="_GoBack"/>
      <w:r w:rsidRPr="00D82363">
        <w:rPr>
          <w:rFonts w:eastAsia="仿宋_GB2312" w:hint="eastAsia"/>
          <w:sz w:val="28"/>
          <w:szCs w:val="28"/>
        </w:rPr>
        <w:t>附件</w:t>
      </w:r>
      <w:r>
        <w:rPr>
          <w:rFonts w:eastAsia="仿宋_GB2312" w:hint="eastAsia"/>
          <w:sz w:val="28"/>
          <w:szCs w:val="28"/>
        </w:rPr>
        <w:t>3</w:t>
      </w:r>
      <w:r w:rsidRPr="00D82363">
        <w:rPr>
          <w:rFonts w:eastAsia="仿宋_GB2312" w:hint="eastAsia"/>
          <w:sz w:val="28"/>
          <w:szCs w:val="28"/>
        </w:rPr>
        <w:t>：</w:t>
      </w:r>
    </w:p>
    <w:p w:rsidR="003A5C4C" w:rsidRPr="000B271A" w:rsidRDefault="003A5C4C" w:rsidP="003A5C4C">
      <w:pPr>
        <w:jc w:val="center"/>
        <w:rPr>
          <w:rFonts w:hint="eastAsia"/>
          <w:b/>
          <w:sz w:val="24"/>
        </w:rPr>
      </w:pPr>
      <w:r w:rsidRPr="000B271A">
        <w:rPr>
          <w:rFonts w:eastAsia="仿宋_GB2312" w:hint="eastAsia"/>
          <w:b/>
          <w:sz w:val="28"/>
          <w:szCs w:val="28"/>
        </w:rPr>
        <w:t>会议摘要格式参考</w:t>
      </w:r>
    </w:p>
    <w:bookmarkEnd w:id="0"/>
    <w:p w:rsidR="003A5C4C" w:rsidRPr="00E05A01" w:rsidRDefault="003A5C4C" w:rsidP="003A5C4C">
      <w:pPr>
        <w:autoSpaceDE w:val="0"/>
        <w:autoSpaceDN w:val="0"/>
        <w:adjustRightInd w:val="0"/>
        <w:spacing w:line="360" w:lineRule="auto"/>
        <w:jc w:val="center"/>
        <w:rPr>
          <w:rStyle w:val="a3"/>
          <w:rFonts w:eastAsia="黑体"/>
          <w:i w:val="0"/>
          <w:iCs w:val="0"/>
          <w:sz w:val="28"/>
          <w:szCs w:val="28"/>
          <w:shd w:val="clear" w:color="auto" w:fill="FFFFFF"/>
        </w:rPr>
      </w:pPr>
      <w:r w:rsidRPr="00E05A01">
        <w:rPr>
          <w:rStyle w:val="a3"/>
          <w:rFonts w:eastAsia="黑体" w:hAnsi="黑体"/>
          <w:i w:val="0"/>
          <w:iCs w:val="0"/>
          <w:sz w:val="28"/>
          <w:szCs w:val="28"/>
          <w:shd w:val="clear" w:color="auto" w:fill="FFFFFF"/>
        </w:rPr>
        <w:t>西北太平洋等边浅</w:t>
      </w:r>
      <w:proofErr w:type="gramStart"/>
      <w:r w:rsidRPr="00E05A01">
        <w:rPr>
          <w:rStyle w:val="a3"/>
          <w:rFonts w:eastAsia="黑体" w:hAnsi="黑体"/>
          <w:i w:val="0"/>
          <w:iCs w:val="0"/>
          <w:sz w:val="28"/>
          <w:szCs w:val="28"/>
          <w:shd w:val="clear" w:color="auto" w:fill="FFFFFF"/>
        </w:rPr>
        <w:t>蛤</w:t>
      </w:r>
      <w:proofErr w:type="gramEnd"/>
      <w:r w:rsidRPr="00E05A01">
        <w:rPr>
          <w:rStyle w:val="a3"/>
          <w:rFonts w:eastAsia="黑体" w:hAnsi="黑体"/>
          <w:i w:val="0"/>
          <w:iCs w:val="0"/>
          <w:sz w:val="28"/>
          <w:szCs w:val="28"/>
          <w:shd w:val="clear" w:color="auto" w:fill="FFFFFF"/>
        </w:rPr>
        <w:t>的冰期避难所与冰期后扩散的分子证据</w:t>
      </w:r>
    </w:p>
    <w:p w:rsidR="003A5C4C" w:rsidRDefault="003A5C4C" w:rsidP="003A5C4C">
      <w:pPr>
        <w:autoSpaceDE w:val="0"/>
        <w:autoSpaceDN w:val="0"/>
        <w:adjustRightInd w:val="0"/>
        <w:spacing w:line="360" w:lineRule="auto"/>
        <w:jc w:val="center"/>
        <w:rPr>
          <w:rFonts w:hAnsi="宋体" w:hint="eastAsia"/>
          <w:kern w:val="0"/>
          <w:sz w:val="24"/>
        </w:rPr>
      </w:pPr>
      <w:r>
        <w:rPr>
          <w:rFonts w:hAnsi="宋体" w:hint="eastAsia"/>
          <w:kern w:val="0"/>
          <w:sz w:val="24"/>
        </w:rPr>
        <w:t>（</w:t>
      </w:r>
      <w:r w:rsidRPr="006973EE">
        <w:rPr>
          <w:rFonts w:hAnsi="宋体" w:hint="eastAsia"/>
          <w:color w:val="FF0000"/>
          <w:kern w:val="0"/>
          <w:sz w:val="24"/>
        </w:rPr>
        <w:t>长的摘要自成一整页面</w:t>
      </w:r>
      <w:r>
        <w:rPr>
          <w:rFonts w:hAnsi="宋体" w:hint="eastAsia"/>
          <w:kern w:val="0"/>
          <w:sz w:val="24"/>
        </w:rPr>
        <w:t>）</w:t>
      </w:r>
    </w:p>
    <w:p w:rsidR="003A5C4C" w:rsidRPr="00E05A01" w:rsidRDefault="003A5C4C" w:rsidP="003A5C4C">
      <w:pPr>
        <w:autoSpaceDE w:val="0"/>
        <w:autoSpaceDN w:val="0"/>
        <w:adjustRightInd w:val="0"/>
        <w:spacing w:line="360" w:lineRule="auto"/>
        <w:jc w:val="center"/>
        <w:rPr>
          <w:rFonts w:hint="eastAsia"/>
          <w:kern w:val="0"/>
          <w:sz w:val="24"/>
        </w:rPr>
      </w:pPr>
      <w:r w:rsidRPr="00E05A01">
        <w:rPr>
          <w:rFonts w:hAnsi="宋体"/>
          <w:kern w:val="0"/>
          <w:sz w:val="24"/>
        </w:rPr>
        <w:t>吕锋骅</w:t>
      </w:r>
      <w:r>
        <w:rPr>
          <w:rFonts w:hint="eastAsia"/>
          <w:kern w:val="0"/>
          <w:sz w:val="24"/>
          <w:vertAlign w:val="superscript"/>
        </w:rPr>
        <w:t>1</w:t>
      </w:r>
      <w:r>
        <w:rPr>
          <w:rFonts w:hint="eastAsia"/>
          <w:kern w:val="0"/>
          <w:sz w:val="24"/>
          <w:vertAlign w:val="superscript"/>
        </w:rPr>
        <w:t>，</w:t>
      </w:r>
      <w:r>
        <w:rPr>
          <w:rFonts w:hint="eastAsia"/>
          <w:kern w:val="0"/>
          <w:sz w:val="24"/>
          <w:vertAlign w:val="superscript"/>
        </w:rPr>
        <w:t>2</w:t>
      </w:r>
      <w:r w:rsidRPr="00E05A01">
        <w:rPr>
          <w:kern w:val="0"/>
          <w:sz w:val="24"/>
        </w:rPr>
        <w:t xml:space="preserve">, </w:t>
      </w:r>
      <w:r w:rsidRPr="00E05A01">
        <w:rPr>
          <w:rFonts w:hAnsi="宋体"/>
          <w:kern w:val="0"/>
          <w:sz w:val="24"/>
        </w:rPr>
        <w:t>林</w:t>
      </w:r>
      <w:proofErr w:type="gramStart"/>
      <w:r w:rsidRPr="00E05A01">
        <w:rPr>
          <w:rFonts w:hAnsi="宋体"/>
          <w:kern w:val="0"/>
          <w:sz w:val="24"/>
        </w:rPr>
        <w:t>岿璇</w:t>
      </w:r>
      <w:proofErr w:type="gramEnd"/>
      <w:r>
        <w:rPr>
          <w:rFonts w:hint="eastAsia"/>
          <w:kern w:val="0"/>
          <w:sz w:val="24"/>
          <w:vertAlign w:val="superscript"/>
        </w:rPr>
        <w:t>1</w:t>
      </w:r>
      <w:r>
        <w:rPr>
          <w:rFonts w:hint="eastAsia"/>
          <w:kern w:val="0"/>
          <w:sz w:val="24"/>
          <w:vertAlign w:val="superscript"/>
        </w:rPr>
        <w:t>，</w:t>
      </w:r>
      <w:r>
        <w:rPr>
          <w:rFonts w:hint="eastAsia"/>
          <w:kern w:val="0"/>
          <w:sz w:val="24"/>
          <w:vertAlign w:val="superscript"/>
        </w:rPr>
        <w:t>3</w:t>
      </w:r>
      <w:r w:rsidRPr="00E05A01">
        <w:rPr>
          <w:kern w:val="0"/>
          <w:sz w:val="24"/>
        </w:rPr>
        <w:t xml:space="preserve">, </w:t>
      </w:r>
      <w:r w:rsidRPr="00E05A01">
        <w:rPr>
          <w:rFonts w:hAnsi="宋体"/>
          <w:kern w:val="0"/>
          <w:sz w:val="24"/>
        </w:rPr>
        <w:t>陈万东</w:t>
      </w:r>
      <w:r>
        <w:rPr>
          <w:rFonts w:hint="eastAsia"/>
          <w:kern w:val="0"/>
          <w:sz w:val="24"/>
          <w:vertAlign w:val="superscript"/>
        </w:rPr>
        <w:t>4</w:t>
      </w:r>
      <w:r w:rsidRPr="00E05A01">
        <w:rPr>
          <w:kern w:val="0"/>
          <w:sz w:val="24"/>
        </w:rPr>
        <w:t xml:space="preserve">, </w:t>
      </w:r>
      <w:proofErr w:type="spellStart"/>
      <w:r w:rsidRPr="00E05A01">
        <w:rPr>
          <w:kern w:val="0"/>
          <w:sz w:val="24"/>
        </w:rPr>
        <w:t>Joram</w:t>
      </w:r>
      <w:proofErr w:type="spellEnd"/>
      <w:r w:rsidRPr="00E05A01">
        <w:rPr>
          <w:kern w:val="0"/>
          <w:sz w:val="24"/>
        </w:rPr>
        <w:t xml:space="preserve"> M. Mwacharo</w:t>
      </w:r>
      <w:r>
        <w:rPr>
          <w:rFonts w:hint="eastAsia"/>
          <w:kern w:val="0"/>
          <w:sz w:val="24"/>
          <w:vertAlign w:val="superscript"/>
        </w:rPr>
        <w:t>5</w:t>
      </w:r>
      <w:r w:rsidRPr="00E05A01">
        <w:rPr>
          <w:kern w:val="0"/>
          <w:sz w:val="24"/>
        </w:rPr>
        <w:t xml:space="preserve">, </w:t>
      </w:r>
      <w:proofErr w:type="gramStart"/>
      <w:r w:rsidRPr="00E05A01">
        <w:rPr>
          <w:rFonts w:hAnsi="宋体"/>
          <w:kern w:val="0"/>
          <w:sz w:val="24"/>
        </w:rPr>
        <w:t>韩洁</w:t>
      </w:r>
      <w:proofErr w:type="gramEnd"/>
      <w:r>
        <w:rPr>
          <w:rFonts w:hint="eastAsia"/>
          <w:kern w:val="0"/>
          <w:sz w:val="24"/>
          <w:vertAlign w:val="superscript"/>
        </w:rPr>
        <w:t>1*</w:t>
      </w:r>
    </w:p>
    <w:p w:rsidR="003A5C4C" w:rsidRPr="00E05A01" w:rsidRDefault="003A5C4C" w:rsidP="003A5C4C">
      <w:pPr>
        <w:autoSpaceDE w:val="0"/>
        <w:autoSpaceDN w:val="0"/>
        <w:adjustRightInd w:val="0"/>
        <w:spacing w:line="360" w:lineRule="auto"/>
        <w:rPr>
          <w:rFonts w:hint="eastAsia"/>
          <w:kern w:val="0"/>
          <w:sz w:val="24"/>
        </w:rPr>
      </w:pPr>
      <w:r>
        <w:rPr>
          <w:rFonts w:hint="eastAsia"/>
          <w:kern w:val="0"/>
          <w:sz w:val="24"/>
        </w:rPr>
        <w:t>（</w:t>
      </w:r>
      <w:r>
        <w:rPr>
          <w:rFonts w:hint="eastAsia"/>
          <w:kern w:val="0"/>
          <w:sz w:val="24"/>
        </w:rPr>
        <w:t>1</w:t>
      </w:r>
      <w:r w:rsidRPr="00E05A01">
        <w:rPr>
          <w:rFonts w:hAnsi="宋体"/>
          <w:kern w:val="0"/>
          <w:sz w:val="24"/>
        </w:rPr>
        <w:t>北京师范大学生命科学学院，教育部生物多样性与生态工程重点实验室</w:t>
      </w:r>
      <w:r>
        <w:rPr>
          <w:rFonts w:hAnsi="宋体" w:hint="eastAsia"/>
          <w:kern w:val="0"/>
          <w:sz w:val="24"/>
        </w:rPr>
        <w:t>；</w:t>
      </w:r>
      <w:r>
        <w:rPr>
          <w:rFonts w:hint="eastAsia"/>
          <w:kern w:val="0"/>
          <w:sz w:val="24"/>
        </w:rPr>
        <w:t>2</w:t>
      </w:r>
      <w:r w:rsidRPr="00E05A01">
        <w:rPr>
          <w:rFonts w:hAnsi="宋体"/>
          <w:kern w:val="0"/>
          <w:sz w:val="24"/>
        </w:rPr>
        <w:t>中国科学院动物研究所，动物生态与保护生物学重点实验室</w:t>
      </w:r>
      <w:r>
        <w:rPr>
          <w:rFonts w:hAnsi="宋体" w:hint="eastAsia"/>
          <w:kern w:val="0"/>
          <w:sz w:val="24"/>
        </w:rPr>
        <w:t>；</w:t>
      </w:r>
      <w:r>
        <w:rPr>
          <w:rFonts w:hint="eastAsia"/>
          <w:kern w:val="0"/>
          <w:sz w:val="24"/>
        </w:rPr>
        <w:t>3</w:t>
      </w:r>
      <w:r w:rsidRPr="00E05A01">
        <w:rPr>
          <w:rFonts w:hAnsi="宋体"/>
          <w:kern w:val="0"/>
          <w:sz w:val="24"/>
        </w:rPr>
        <w:t>中国环境科学</w:t>
      </w:r>
      <w:r>
        <w:rPr>
          <w:rFonts w:hAnsi="宋体" w:hint="eastAsia"/>
          <w:kern w:val="0"/>
          <w:sz w:val="24"/>
        </w:rPr>
        <w:t>研究</w:t>
      </w:r>
      <w:r w:rsidRPr="00E05A01">
        <w:rPr>
          <w:rFonts w:hAnsi="宋体"/>
          <w:kern w:val="0"/>
          <w:sz w:val="24"/>
        </w:rPr>
        <w:t>院</w:t>
      </w:r>
      <w:r>
        <w:rPr>
          <w:rFonts w:hAnsi="宋体" w:hint="eastAsia"/>
          <w:kern w:val="0"/>
          <w:sz w:val="24"/>
        </w:rPr>
        <w:t>；</w:t>
      </w:r>
      <w:r>
        <w:rPr>
          <w:rFonts w:hint="eastAsia"/>
          <w:kern w:val="0"/>
          <w:sz w:val="24"/>
        </w:rPr>
        <w:t>4</w:t>
      </w:r>
      <w:r w:rsidRPr="00E05A01">
        <w:rPr>
          <w:rFonts w:hAnsi="宋体"/>
          <w:kern w:val="0"/>
          <w:sz w:val="24"/>
        </w:rPr>
        <w:t>南</w:t>
      </w:r>
      <w:proofErr w:type="gramStart"/>
      <w:r w:rsidRPr="00E05A01">
        <w:rPr>
          <w:rFonts w:hAnsi="宋体"/>
          <w:kern w:val="0"/>
          <w:sz w:val="24"/>
        </w:rPr>
        <w:t>麂</w:t>
      </w:r>
      <w:proofErr w:type="gramEnd"/>
      <w:r w:rsidRPr="00E05A01">
        <w:rPr>
          <w:rFonts w:hAnsi="宋体"/>
          <w:kern w:val="0"/>
          <w:sz w:val="24"/>
        </w:rPr>
        <w:t>列岛国家级海洋自然保护区</w:t>
      </w:r>
      <w:r>
        <w:rPr>
          <w:rFonts w:hint="eastAsia"/>
          <w:kern w:val="0"/>
          <w:sz w:val="24"/>
        </w:rPr>
        <w:t>；</w:t>
      </w:r>
      <w:r>
        <w:rPr>
          <w:rFonts w:hint="eastAsia"/>
          <w:kern w:val="0"/>
          <w:sz w:val="24"/>
        </w:rPr>
        <w:t>5</w:t>
      </w:r>
      <w:r w:rsidRPr="00E05A01">
        <w:rPr>
          <w:rFonts w:hAnsi="宋体"/>
          <w:kern w:val="0"/>
          <w:sz w:val="24"/>
        </w:rPr>
        <w:t>英国诺丁汉大学遗传与基因组学中心</w:t>
      </w:r>
      <w:r>
        <w:rPr>
          <w:rFonts w:hAnsi="宋体" w:hint="eastAsia"/>
          <w:kern w:val="0"/>
          <w:sz w:val="24"/>
        </w:rPr>
        <w:t>）</w:t>
      </w:r>
    </w:p>
    <w:p w:rsidR="003A5C4C" w:rsidRPr="00D827C8" w:rsidRDefault="003A5C4C" w:rsidP="003A5C4C">
      <w:pPr>
        <w:spacing w:line="360" w:lineRule="auto"/>
        <w:jc w:val="center"/>
        <w:rPr>
          <w:rFonts w:hint="eastAsia"/>
          <w:sz w:val="24"/>
        </w:rPr>
      </w:pPr>
      <w:r w:rsidRPr="00D827C8">
        <w:rPr>
          <w:rFonts w:hAnsi="宋体" w:hint="eastAsia"/>
          <w:sz w:val="24"/>
        </w:rPr>
        <w:t>*</w:t>
      </w:r>
      <w:r w:rsidRPr="00D827C8">
        <w:rPr>
          <w:rFonts w:hAnsi="宋体"/>
          <w:sz w:val="24"/>
        </w:rPr>
        <w:t>通讯作者</w:t>
      </w:r>
      <w:r w:rsidRPr="00D827C8">
        <w:rPr>
          <w:sz w:val="24"/>
        </w:rPr>
        <w:t xml:space="preserve">: </w:t>
      </w:r>
      <w:hyperlink r:id="rId4" w:history="1">
        <w:r w:rsidRPr="00075A0E">
          <w:rPr>
            <w:sz w:val="24"/>
          </w:rPr>
          <w:t>jiehan@bnu.edu.cn</w:t>
        </w:r>
      </w:hyperlink>
    </w:p>
    <w:p w:rsidR="003A5C4C" w:rsidRPr="00E05A01" w:rsidRDefault="003A5C4C" w:rsidP="003A5C4C">
      <w:pPr>
        <w:spacing w:line="360" w:lineRule="auto"/>
        <w:ind w:firstLineChars="196" w:firstLine="470"/>
      </w:pPr>
      <w:r w:rsidRPr="00E05A01">
        <w:rPr>
          <w:rFonts w:hAnsi="宋体"/>
          <w:kern w:val="0"/>
          <w:sz w:val="24"/>
        </w:rPr>
        <w:t>本研究采用线粒体细胞色素</w:t>
      </w:r>
      <w:r w:rsidRPr="00E05A01">
        <w:rPr>
          <w:kern w:val="0"/>
          <w:sz w:val="24"/>
        </w:rPr>
        <w:t>c</w:t>
      </w:r>
      <w:r w:rsidRPr="00E05A01">
        <w:rPr>
          <w:rFonts w:hAnsi="宋体"/>
          <w:kern w:val="0"/>
          <w:sz w:val="24"/>
        </w:rPr>
        <w:t>氧化酶亚单位</w:t>
      </w:r>
      <w:r w:rsidRPr="00E05A01">
        <w:rPr>
          <w:kern w:val="0"/>
          <w:sz w:val="24"/>
        </w:rPr>
        <w:t>I</w:t>
      </w:r>
      <w:r w:rsidRPr="00E05A01">
        <w:rPr>
          <w:rFonts w:hAnsi="宋体"/>
          <w:kern w:val="0"/>
          <w:sz w:val="24"/>
        </w:rPr>
        <w:t>（</w:t>
      </w:r>
      <w:r w:rsidRPr="00E05A01">
        <w:rPr>
          <w:kern w:val="0"/>
          <w:sz w:val="24"/>
        </w:rPr>
        <w:t>COI</w:t>
      </w:r>
      <w:r w:rsidRPr="00E05A01">
        <w:rPr>
          <w:rFonts w:hAnsi="宋体"/>
          <w:kern w:val="0"/>
          <w:sz w:val="24"/>
        </w:rPr>
        <w:t>）和核糖体</w:t>
      </w:r>
      <w:r w:rsidRPr="00E05A01">
        <w:rPr>
          <w:color w:val="444444"/>
          <w:sz w:val="24"/>
          <w:shd w:val="clear" w:color="auto" w:fill="FFFFFF"/>
        </w:rPr>
        <w:t>RNA</w:t>
      </w:r>
      <w:r w:rsidRPr="00E05A01">
        <w:rPr>
          <w:rFonts w:hAnsi="宋体"/>
          <w:color w:val="444444"/>
          <w:sz w:val="24"/>
          <w:shd w:val="clear" w:color="auto" w:fill="FFFFFF"/>
        </w:rPr>
        <w:t>转录单元内间隔区</w:t>
      </w:r>
      <w:r w:rsidRPr="00E05A01">
        <w:rPr>
          <w:color w:val="444444"/>
          <w:sz w:val="24"/>
          <w:shd w:val="clear" w:color="auto" w:fill="FFFFFF"/>
        </w:rPr>
        <w:t>1</w:t>
      </w:r>
      <w:r w:rsidRPr="00E05A01">
        <w:rPr>
          <w:rFonts w:hAnsi="宋体"/>
          <w:kern w:val="0"/>
          <w:sz w:val="24"/>
        </w:rPr>
        <w:t>（</w:t>
      </w:r>
      <w:r w:rsidRPr="00E05A01">
        <w:rPr>
          <w:kern w:val="0"/>
          <w:sz w:val="24"/>
        </w:rPr>
        <w:t>ITS1</w:t>
      </w:r>
      <w:r w:rsidRPr="00E05A01">
        <w:rPr>
          <w:rFonts w:hAnsi="宋体"/>
          <w:kern w:val="0"/>
          <w:sz w:val="24"/>
        </w:rPr>
        <w:t>）两个</w:t>
      </w:r>
      <w:r w:rsidRPr="00E05A01">
        <w:rPr>
          <w:kern w:val="0"/>
          <w:sz w:val="24"/>
        </w:rPr>
        <w:t>DNA</w:t>
      </w:r>
      <w:r w:rsidRPr="00E05A01">
        <w:rPr>
          <w:rFonts w:hAnsi="宋体"/>
          <w:kern w:val="0"/>
          <w:sz w:val="24"/>
        </w:rPr>
        <w:t>序列分子标记，对西北太平洋等边浅</w:t>
      </w:r>
      <w:proofErr w:type="gramStart"/>
      <w:r w:rsidRPr="00E05A01">
        <w:rPr>
          <w:rFonts w:hAnsi="宋体"/>
          <w:kern w:val="0"/>
          <w:sz w:val="24"/>
        </w:rPr>
        <w:t>蛤</w:t>
      </w:r>
      <w:proofErr w:type="gramEnd"/>
      <w:r w:rsidRPr="00E05A01">
        <w:rPr>
          <w:rStyle w:val="a3"/>
          <w:rFonts w:hAnsi="宋体"/>
          <w:i w:val="0"/>
          <w:iCs w:val="0"/>
          <w:sz w:val="24"/>
          <w:shd w:val="clear" w:color="auto" w:fill="FFFFFF"/>
        </w:rPr>
        <w:t>（</w:t>
      </w:r>
      <w:proofErr w:type="spellStart"/>
      <w:r w:rsidRPr="00E05A01">
        <w:rPr>
          <w:i/>
          <w:kern w:val="0"/>
          <w:sz w:val="24"/>
        </w:rPr>
        <w:t>Macridiscus</w:t>
      </w:r>
      <w:proofErr w:type="spellEnd"/>
      <w:r w:rsidRPr="00E05A01">
        <w:rPr>
          <w:kern w:val="0"/>
          <w:sz w:val="24"/>
        </w:rPr>
        <w:t xml:space="preserve"> Dall, 1902</w:t>
      </w:r>
      <w:r w:rsidRPr="00E05A01">
        <w:rPr>
          <w:rStyle w:val="a3"/>
          <w:rFonts w:hAnsi="宋体"/>
          <w:i w:val="0"/>
          <w:iCs w:val="0"/>
          <w:sz w:val="24"/>
          <w:shd w:val="clear" w:color="auto" w:fill="FFFFFF"/>
        </w:rPr>
        <w:t>）的分子系统地理学模式进行了分析，并将其与上新世末期和更新世冰期造成的海平面下降事件相关联，探讨了造成等边浅</w:t>
      </w:r>
      <w:proofErr w:type="gramStart"/>
      <w:r w:rsidRPr="00E05A01">
        <w:rPr>
          <w:rStyle w:val="a3"/>
          <w:rFonts w:hAnsi="宋体"/>
          <w:i w:val="0"/>
          <w:iCs w:val="0"/>
          <w:sz w:val="24"/>
          <w:shd w:val="clear" w:color="auto" w:fill="FFFFFF"/>
        </w:rPr>
        <w:t>蛤</w:t>
      </w:r>
      <w:proofErr w:type="gramEnd"/>
      <w:r w:rsidRPr="00E05A01">
        <w:rPr>
          <w:rStyle w:val="a3"/>
          <w:rFonts w:hAnsi="宋体"/>
          <w:i w:val="0"/>
          <w:iCs w:val="0"/>
          <w:sz w:val="24"/>
          <w:shd w:val="clear" w:color="auto" w:fill="FFFFFF"/>
        </w:rPr>
        <w:t>物种形成和分化的历史因素。对分布于</w:t>
      </w:r>
      <w:r w:rsidRPr="00E05A01">
        <w:rPr>
          <w:rFonts w:hAnsi="宋体"/>
          <w:kern w:val="0"/>
          <w:sz w:val="24"/>
        </w:rPr>
        <w:t>黄海、东海和南海</w:t>
      </w:r>
      <w:r w:rsidRPr="00E05A01">
        <w:rPr>
          <w:kern w:val="0"/>
          <w:sz w:val="24"/>
        </w:rPr>
        <w:t>10</w:t>
      </w:r>
      <w:r w:rsidRPr="00E05A01">
        <w:rPr>
          <w:rFonts w:hAnsi="宋体"/>
          <w:kern w:val="0"/>
          <w:sz w:val="24"/>
        </w:rPr>
        <w:t>个种群共</w:t>
      </w:r>
      <w:r w:rsidRPr="00E05A01">
        <w:rPr>
          <w:kern w:val="0"/>
          <w:sz w:val="24"/>
        </w:rPr>
        <w:t>302</w:t>
      </w:r>
      <w:r w:rsidRPr="00E05A01">
        <w:rPr>
          <w:rFonts w:hAnsi="宋体"/>
          <w:kern w:val="0"/>
          <w:sz w:val="24"/>
        </w:rPr>
        <w:t>个个体的研究表明，等边浅</w:t>
      </w:r>
      <w:proofErr w:type="gramStart"/>
      <w:r w:rsidRPr="00E05A01">
        <w:rPr>
          <w:rFonts w:hAnsi="宋体"/>
          <w:kern w:val="0"/>
          <w:sz w:val="24"/>
        </w:rPr>
        <w:t>蛤</w:t>
      </w:r>
      <w:proofErr w:type="gramEnd"/>
      <w:r w:rsidRPr="00E05A01">
        <w:rPr>
          <w:rFonts w:hAnsi="宋体"/>
          <w:kern w:val="0"/>
          <w:sz w:val="24"/>
        </w:rPr>
        <w:t>的线粒体和核基因均明确地分成两个单倍型组（定义为</w:t>
      </w:r>
      <w:r w:rsidRPr="00E05A01">
        <w:rPr>
          <w:kern w:val="0"/>
          <w:sz w:val="24"/>
        </w:rPr>
        <w:t>haplogroup A</w:t>
      </w:r>
      <w:r w:rsidRPr="00E05A01">
        <w:rPr>
          <w:rFonts w:hAnsi="宋体"/>
          <w:kern w:val="0"/>
          <w:sz w:val="24"/>
        </w:rPr>
        <w:t>和</w:t>
      </w:r>
      <w:r w:rsidRPr="00E05A01">
        <w:rPr>
          <w:kern w:val="0"/>
          <w:sz w:val="24"/>
        </w:rPr>
        <w:t>haplogroup B</w:t>
      </w:r>
      <w:r w:rsidRPr="00E05A01">
        <w:rPr>
          <w:rFonts w:hAnsi="宋体"/>
          <w:kern w:val="0"/>
          <w:sz w:val="24"/>
        </w:rPr>
        <w:t>），其中</w:t>
      </w:r>
      <w:r w:rsidRPr="00E05A01">
        <w:rPr>
          <w:kern w:val="0"/>
          <w:sz w:val="24"/>
        </w:rPr>
        <w:t>haplogroup A</w:t>
      </w:r>
      <w:r w:rsidRPr="00E05A01">
        <w:rPr>
          <w:rFonts w:hAnsi="宋体"/>
          <w:kern w:val="0"/>
          <w:sz w:val="24"/>
        </w:rPr>
        <w:t>只分布在黄海，而</w:t>
      </w:r>
      <w:r w:rsidRPr="00E05A01">
        <w:rPr>
          <w:kern w:val="0"/>
          <w:sz w:val="24"/>
        </w:rPr>
        <w:t>haplogroup B</w:t>
      </w:r>
      <w:r w:rsidRPr="00E05A01">
        <w:rPr>
          <w:rFonts w:hAnsi="宋体"/>
          <w:kern w:val="0"/>
          <w:sz w:val="24"/>
        </w:rPr>
        <w:t>则分布在东海和南海，</w:t>
      </w:r>
      <w:r w:rsidRPr="00E05A01">
        <w:rPr>
          <w:kern w:val="0"/>
          <w:sz w:val="24"/>
        </w:rPr>
        <w:t>haplogroup B</w:t>
      </w:r>
      <w:r w:rsidRPr="00E05A01">
        <w:rPr>
          <w:rFonts w:hAnsi="宋体"/>
          <w:kern w:val="0"/>
          <w:sz w:val="24"/>
        </w:rPr>
        <w:t>还同时表现为两个支系（定义为</w:t>
      </w:r>
      <w:r w:rsidRPr="00E05A01">
        <w:rPr>
          <w:kern w:val="0"/>
          <w:sz w:val="24"/>
        </w:rPr>
        <w:t>lineage 1</w:t>
      </w:r>
      <w:r w:rsidRPr="00E05A01">
        <w:rPr>
          <w:rFonts w:hAnsi="宋体"/>
          <w:kern w:val="0"/>
          <w:sz w:val="24"/>
        </w:rPr>
        <w:t>和</w:t>
      </w:r>
      <w:r w:rsidRPr="00E05A01">
        <w:rPr>
          <w:kern w:val="0"/>
          <w:sz w:val="24"/>
        </w:rPr>
        <w:t>lineage 2</w:t>
      </w:r>
      <w:r w:rsidRPr="00E05A01">
        <w:rPr>
          <w:rFonts w:hAnsi="宋体"/>
          <w:kern w:val="0"/>
          <w:sz w:val="24"/>
        </w:rPr>
        <w:t>）。</w:t>
      </w:r>
      <w:r w:rsidRPr="00E05A01">
        <w:rPr>
          <w:kern w:val="0"/>
          <w:sz w:val="24"/>
        </w:rPr>
        <w:t xml:space="preserve"> </w:t>
      </w:r>
      <w:r w:rsidRPr="00E05A01">
        <w:rPr>
          <w:rFonts w:hAnsi="宋体"/>
          <w:kern w:val="0"/>
          <w:sz w:val="24"/>
        </w:rPr>
        <w:t>综合本研究和</w:t>
      </w:r>
      <w:r w:rsidRPr="00E05A01">
        <w:rPr>
          <w:kern w:val="0"/>
          <w:sz w:val="24"/>
        </w:rPr>
        <w:t>GenBank</w:t>
      </w:r>
      <w:r w:rsidRPr="00E05A01">
        <w:rPr>
          <w:rFonts w:hAnsi="宋体"/>
          <w:kern w:val="0"/>
          <w:sz w:val="24"/>
        </w:rPr>
        <w:t>数据库中的</w:t>
      </w:r>
      <w:r w:rsidRPr="00E05A01">
        <w:rPr>
          <w:kern w:val="0"/>
          <w:sz w:val="24"/>
        </w:rPr>
        <w:t>COI</w:t>
      </w:r>
      <w:r w:rsidRPr="00E05A01">
        <w:rPr>
          <w:rFonts w:hAnsi="宋体"/>
          <w:kern w:val="0"/>
          <w:sz w:val="24"/>
        </w:rPr>
        <w:t>和</w:t>
      </w:r>
      <w:r w:rsidRPr="00E05A01">
        <w:rPr>
          <w:kern w:val="0"/>
          <w:sz w:val="24"/>
        </w:rPr>
        <w:t>ITS1</w:t>
      </w:r>
      <w:r w:rsidRPr="00E05A01">
        <w:rPr>
          <w:rFonts w:hAnsi="宋体"/>
          <w:kern w:val="0"/>
          <w:sz w:val="24"/>
        </w:rPr>
        <w:t>序列数据进行分析，并结合等边浅</w:t>
      </w:r>
      <w:proofErr w:type="gramStart"/>
      <w:r w:rsidRPr="00E05A01">
        <w:rPr>
          <w:rFonts w:hAnsi="宋体"/>
          <w:kern w:val="0"/>
          <w:sz w:val="24"/>
        </w:rPr>
        <w:t>蛤</w:t>
      </w:r>
      <w:proofErr w:type="gramEnd"/>
      <w:r w:rsidRPr="00E05A01">
        <w:rPr>
          <w:rFonts w:hAnsi="宋体"/>
          <w:kern w:val="0"/>
          <w:sz w:val="24"/>
        </w:rPr>
        <w:t>的分类学研究结果，发现</w:t>
      </w:r>
      <w:r w:rsidRPr="00E05A01">
        <w:rPr>
          <w:kern w:val="0"/>
          <w:sz w:val="24"/>
        </w:rPr>
        <w:t xml:space="preserve">haplogroup A </w:t>
      </w:r>
      <w:r w:rsidRPr="00E05A01">
        <w:rPr>
          <w:rFonts w:hAnsi="宋体"/>
          <w:kern w:val="0"/>
          <w:sz w:val="24"/>
        </w:rPr>
        <w:t>是最近描述的新种</w:t>
      </w:r>
      <w:r w:rsidRPr="00E05A01">
        <w:rPr>
          <w:i/>
          <w:kern w:val="0"/>
          <w:sz w:val="24"/>
        </w:rPr>
        <w:t xml:space="preserve">M. </w:t>
      </w:r>
      <w:proofErr w:type="spellStart"/>
      <w:r w:rsidRPr="00E05A01">
        <w:rPr>
          <w:i/>
          <w:kern w:val="0"/>
          <w:sz w:val="24"/>
        </w:rPr>
        <w:t>multifarius</w:t>
      </w:r>
      <w:proofErr w:type="spellEnd"/>
      <w:r w:rsidRPr="00E05A01">
        <w:rPr>
          <w:rFonts w:hAnsi="宋体"/>
          <w:kern w:val="0"/>
          <w:sz w:val="24"/>
        </w:rPr>
        <w:t>，而</w:t>
      </w:r>
      <w:r w:rsidRPr="00E05A01">
        <w:rPr>
          <w:kern w:val="0"/>
          <w:sz w:val="24"/>
        </w:rPr>
        <w:t>haplogroup B</w:t>
      </w:r>
      <w:r w:rsidRPr="00E05A01">
        <w:rPr>
          <w:rFonts w:hAnsi="宋体"/>
          <w:kern w:val="0"/>
          <w:sz w:val="24"/>
        </w:rPr>
        <w:t>的</w:t>
      </w:r>
      <w:r w:rsidRPr="00E05A01">
        <w:rPr>
          <w:kern w:val="0"/>
          <w:sz w:val="24"/>
        </w:rPr>
        <w:t>lineage 1</w:t>
      </w:r>
      <w:r w:rsidRPr="00E05A01">
        <w:rPr>
          <w:rFonts w:hAnsi="宋体"/>
          <w:kern w:val="0"/>
          <w:sz w:val="24"/>
        </w:rPr>
        <w:t>和</w:t>
      </w:r>
      <w:r w:rsidRPr="00E05A01">
        <w:rPr>
          <w:kern w:val="0"/>
          <w:sz w:val="24"/>
        </w:rPr>
        <w:t>lineage 2</w:t>
      </w:r>
      <w:r w:rsidRPr="00E05A01">
        <w:rPr>
          <w:rFonts w:hAnsi="宋体"/>
          <w:kern w:val="0"/>
          <w:sz w:val="24"/>
        </w:rPr>
        <w:t>是</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semicancellata</w:t>
      </w:r>
      <w:proofErr w:type="spellEnd"/>
      <w:r w:rsidRPr="00E05A01">
        <w:rPr>
          <w:rFonts w:hAnsi="宋体"/>
          <w:kern w:val="0"/>
          <w:sz w:val="24"/>
        </w:rPr>
        <w:t>的两个支系。对系统分化时间的推测表明，</w:t>
      </w:r>
      <w:r w:rsidRPr="00E05A01">
        <w:rPr>
          <w:i/>
          <w:kern w:val="0"/>
          <w:sz w:val="24"/>
        </w:rPr>
        <w:t>M</w:t>
      </w:r>
      <w:r w:rsidRPr="00E05A01">
        <w:rPr>
          <w:kern w:val="0"/>
          <w:sz w:val="24"/>
        </w:rPr>
        <w:t xml:space="preserve">. </w:t>
      </w:r>
      <w:proofErr w:type="spellStart"/>
      <w:r w:rsidRPr="00E05A01">
        <w:rPr>
          <w:i/>
          <w:kern w:val="0"/>
          <w:sz w:val="24"/>
        </w:rPr>
        <w:t>multifarius</w:t>
      </w:r>
      <w:proofErr w:type="spellEnd"/>
      <w:r w:rsidRPr="00E05A01">
        <w:rPr>
          <w:rFonts w:hAnsi="宋体"/>
          <w:kern w:val="0"/>
          <w:sz w:val="24"/>
        </w:rPr>
        <w:t>和</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semicancellata</w:t>
      </w:r>
      <w:proofErr w:type="spellEnd"/>
      <w:r w:rsidRPr="00E05A01">
        <w:rPr>
          <w:rFonts w:hAnsi="宋体"/>
          <w:kern w:val="0"/>
          <w:sz w:val="24"/>
        </w:rPr>
        <w:t>的分化时间大约是在上新世向更新世的过渡期，而</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semicancellata</w:t>
      </w:r>
      <w:proofErr w:type="spellEnd"/>
      <w:r w:rsidRPr="00E05A01">
        <w:rPr>
          <w:rFonts w:hAnsi="宋体"/>
          <w:kern w:val="0"/>
          <w:sz w:val="24"/>
        </w:rPr>
        <w:t>两个支系的分化时间是在更新世。本研究的结果说明，</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multifarius</w:t>
      </w:r>
      <w:proofErr w:type="spellEnd"/>
      <w:r w:rsidRPr="00E05A01">
        <w:rPr>
          <w:rFonts w:hAnsi="宋体"/>
          <w:kern w:val="0"/>
          <w:sz w:val="24"/>
        </w:rPr>
        <w:t>和</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semicancellata</w:t>
      </w:r>
      <w:proofErr w:type="spellEnd"/>
      <w:r w:rsidRPr="00E05A01">
        <w:rPr>
          <w:rFonts w:hAnsi="宋体"/>
          <w:kern w:val="0"/>
          <w:sz w:val="24"/>
        </w:rPr>
        <w:t>及其两个支系起源于冰期海平面下降后西北太平洋不同的边缘海避难所，并且在冰期后进行了长距离的扩散。分布于东海和南海的</w:t>
      </w:r>
      <w:r w:rsidRPr="00E05A01">
        <w:rPr>
          <w:i/>
          <w:kern w:val="0"/>
          <w:sz w:val="24"/>
        </w:rPr>
        <w:t>M</w:t>
      </w:r>
      <w:r w:rsidRPr="00E05A01">
        <w:rPr>
          <w:kern w:val="0"/>
          <w:sz w:val="24"/>
        </w:rPr>
        <w:t>.</w:t>
      </w:r>
      <w:r w:rsidRPr="00E05A01">
        <w:rPr>
          <w:i/>
          <w:kern w:val="0"/>
          <w:sz w:val="24"/>
        </w:rPr>
        <w:t xml:space="preserve"> </w:t>
      </w:r>
      <w:proofErr w:type="spellStart"/>
      <w:r w:rsidRPr="00E05A01">
        <w:rPr>
          <w:i/>
          <w:kern w:val="0"/>
          <w:sz w:val="24"/>
        </w:rPr>
        <w:t>semicancellata</w:t>
      </w:r>
      <w:proofErr w:type="spellEnd"/>
      <w:r w:rsidRPr="00E05A01">
        <w:rPr>
          <w:rFonts w:hAnsi="宋体"/>
          <w:kern w:val="0"/>
          <w:sz w:val="24"/>
        </w:rPr>
        <w:t>的两个支系的分子地理系统模式显示二者在冰期后的混合十分频繁。</w:t>
      </w:r>
      <w:r>
        <w:rPr>
          <w:rFonts w:hAnsi="宋体" w:hint="eastAsia"/>
          <w:kern w:val="0"/>
          <w:sz w:val="24"/>
        </w:rPr>
        <w:t>本项目得到了</w:t>
      </w:r>
      <w:r>
        <w:rPr>
          <w:rFonts w:hAnsi="宋体" w:hint="eastAsia"/>
          <w:kern w:val="0"/>
          <w:sz w:val="24"/>
        </w:rPr>
        <w:t>XXX</w:t>
      </w:r>
      <w:r>
        <w:rPr>
          <w:rFonts w:hAnsi="宋体" w:hint="eastAsia"/>
          <w:kern w:val="0"/>
          <w:sz w:val="24"/>
        </w:rPr>
        <w:t>资金的资助。</w:t>
      </w:r>
    </w:p>
    <w:p w:rsidR="003A5C4C" w:rsidRPr="006973EE" w:rsidRDefault="003A5C4C" w:rsidP="003A5C4C">
      <w:pPr>
        <w:autoSpaceDE w:val="0"/>
        <w:autoSpaceDN w:val="0"/>
        <w:adjustRightInd w:val="0"/>
        <w:spacing w:line="360" w:lineRule="auto"/>
        <w:jc w:val="center"/>
        <w:rPr>
          <w:rStyle w:val="a3"/>
          <w:rFonts w:eastAsia="黑体" w:hAnsi="黑体" w:hint="eastAsia"/>
          <w:i w:val="0"/>
          <w:iCs w:val="0"/>
          <w:sz w:val="28"/>
          <w:szCs w:val="28"/>
          <w:shd w:val="clear" w:color="auto" w:fill="FFFFFF"/>
        </w:rPr>
      </w:pPr>
      <w:r>
        <w:br w:type="page"/>
      </w:r>
      <w:r w:rsidRPr="006973EE">
        <w:rPr>
          <w:rStyle w:val="a3"/>
          <w:rFonts w:eastAsia="黑体" w:hAnsi="黑体" w:hint="eastAsia"/>
          <w:i w:val="0"/>
          <w:iCs w:val="0"/>
          <w:sz w:val="28"/>
          <w:szCs w:val="28"/>
          <w:shd w:val="clear" w:color="auto" w:fill="FFFFFF"/>
        </w:rPr>
        <w:lastRenderedPageBreak/>
        <w:t>马来穿山甲的繁殖参数</w:t>
      </w:r>
    </w:p>
    <w:p w:rsidR="003A5C4C" w:rsidRPr="004B4B01" w:rsidRDefault="003A5C4C" w:rsidP="003A5C4C">
      <w:pPr>
        <w:spacing w:line="400" w:lineRule="exact"/>
        <w:jc w:val="center"/>
        <w:rPr>
          <w:rFonts w:hint="eastAsia"/>
          <w:sz w:val="24"/>
        </w:rPr>
      </w:pPr>
      <w:r w:rsidRPr="004B4B01">
        <w:rPr>
          <w:rFonts w:hint="eastAsia"/>
          <w:sz w:val="24"/>
        </w:rPr>
        <w:t>张富华，吴诗宝</w:t>
      </w:r>
      <w:r w:rsidRPr="004B4B01">
        <w:rPr>
          <w:rFonts w:hint="eastAsia"/>
          <w:sz w:val="24"/>
        </w:rPr>
        <w:t>*</w:t>
      </w:r>
      <w:r w:rsidRPr="004B4B01">
        <w:rPr>
          <w:rFonts w:hint="eastAsia"/>
          <w:sz w:val="24"/>
        </w:rPr>
        <w:t>，杨立，张莉，</w:t>
      </w:r>
      <w:proofErr w:type="gramStart"/>
      <w:r w:rsidRPr="004B4B01">
        <w:rPr>
          <w:rFonts w:hint="eastAsia"/>
          <w:sz w:val="24"/>
        </w:rPr>
        <w:t>孙儒泳</w:t>
      </w:r>
      <w:proofErr w:type="gramEnd"/>
    </w:p>
    <w:p w:rsidR="003A5C4C" w:rsidRPr="004B4B01" w:rsidRDefault="003A5C4C" w:rsidP="003A5C4C">
      <w:pPr>
        <w:spacing w:line="400" w:lineRule="exact"/>
        <w:jc w:val="center"/>
        <w:rPr>
          <w:rFonts w:hint="eastAsia"/>
          <w:sz w:val="24"/>
        </w:rPr>
      </w:pPr>
      <w:r w:rsidRPr="004B4B01">
        <w:rPr>
          <w:rFonts w:hint="eastAsia"/>
          <w:sz w:val="24"/>
        </w:rPr>
        <w:t>（华南师范大学生命科学学院</w:t>
      </w:r>
      <w:r w:rsidRPr="004B4B01">
        <w:rPr>
          <w:rFonts w:hint="eastAsia"/>
          <w:sz w:val="24"/>
        </w:rPr>
        <w:t xml:space="preserve"> </w:t>
      </w:r>
      <w:r w:rsidRPr="004B4B01">
        <w:rPr>
          <w:rFonts w:hint="eastAsia"/>
          <w:sz w:val="24"/>
        </w:rPr>
        <w:t>广州</w:t>
      </w:r>
      <w:r w:rsidRPr="004B4B01">
        <w:rPr>
          <w:rFonts w:hint="eastAsia"/>
          <w:sz w:val="24"/>
        </w:rPr>
        <w:t xml:space="preserve"> 510631</w:t>
      </w:r>
      <w:r w:rsidRPr="004B4B01">
        <w:rPr>
          <w:rFonts w:hint="eastAsia"/>
          <w:sz w:val="24"/>
        </w:rPr>
        <w:t>）</w:t>
      </w:r>
    </w:p>
    <w:p w:rsidR="003A5C4C" w:rsidRPr="004B4B01" w:rsidRDefault="003A5C4C" w:rsidP="003A5C4C">
      <w:pPr>
        <w:spacing w:line="360" w:lineRule="auto"/>
        <w:jc w:val="center"/>
        <w:rPr>
          <w:rFonts w:hint="eastAsia"/>
          <w:sz w:val="24"/>
        </w:rPr>
      </w:pPr>
      <w:r w:rsidRPr="004B4B01">
        <w:rPr>
          <w:rFonts w:hint="eastAsia"/>
          <w:sz w:val="24"/>
        </w:rPr>
        <w:t>*</w:t>
      </w:r>
      <w:r w:rsidRPr="004B4B01">
        <w:rPr>
          <w:rFonts w:hint="eastAsia"/>
          <w:sz w:val="24"/>
        </w:rPr>
        <w:t>通讯作者：</w:t>
      </w:r>
      <w:r w:rsidRPr="004B4B01">
        <w:rPr>
          <w:rFonts w:hint="eastAsia"/>
          <w:sz w:val="24"/>
        </w:rPr>
        <w:t>wushibao@163.com</w:t>
      </w:r>
    </w:p>
    <w:p w:rsidR="003A5C4C" w:rsidRDefault="003A5C4C" w:rsidP="003A5C4C">
      <w:pPr>
        <w:spacing w:line="360" w:lineRule="auto"/>
        <w:ind w:firstLineChars="200" w:firstLine="480"/>
        <w:rPr>
          <w:rFonts w:hint="eastAsia"/>
          <w:sz w:val="24"/>
        </w:rPr>
      </w:pPr>
      <w:r w:rsidRPr="004B4B01">
        <w:rPr>
          <w:rFonts w:hint="eastAsia"/>
          <w:sz w:val="24"/>
        </w:rPr>
        <w:t>种群繁殖参数是研究种群生命表，分析种群动态，预测种群未来发展趋势必需的基础资料，也是野生动物人工种群科学管理的依据。马来穿山甲的繁殖参数资料一直是个空缺。本文根据</w:t>
      </w:r>
      <w:r w:rsidRPr="004B4B01">
        <w:rPr>
          <w:rFonts w:hint="eastAsia"/>
          <w:sz w:val="24"/>
        </w:rPr>
        <w:t>2010</w:t>
      </w:r>
      <w:r w:rsidRPr="004B4B01">
        <w:rPr>
          <w:rFonts w:hint="eastAsia"/>
          <w:sz w:val="24"/>
        </w:rPr>
        <w:t>年</w:t>
      </w:r>
      <w:r w:rsidRPr="004B4B01">
        <w:rPr>
          <w:rFonts w:hint="eastAsia"/>
          <w:sz w:val="24"/>
        </w:rPr>
        <w:t>6</w:t>
      </w:r>
      <w:r w:rsidRPr="004B4B01">
        <w:rPr>
          <w:rFonts w:hint="eastAsia"/>
          <w:sz w:val="24"/>
        </w:rPr>
        <w:t>月至</w:t>
      </w:r>
      <w:r w:rsidRPr="004B4B01">
        <w:rPr>
          <w:rFonts w:hint="eastAsia"/>
          <w:sz w:val="24"/>
        </w:rPr>
        <w:t>2013</w:t>
      </w:r>
      <w:r w:rsidRPr="004B4B01">
        <w:rPr>
          <w:rFonts w:hint="eastAsia"/>
          <w:sz w:val="24"/>
        </w:rPr>
        <w:t>年</w:t>
      </w:r>
      <w:r w:rsidRPr="004B4B01">
        <w:rPr>
          <w:rFonts w:hint="eastAsia"/>
          <w:sz w:val="24"/>
        </w:rPr>
        <w:t>8</w:t>
      </w:r>
      <w:r w:rsidRPr="004B4B01">
        <w:rPr>
          <w:rFonts w:hint="eastAsia"/>
          <w:sz w:val="24"/>
        </w:rPr>
        <w:t>月在华南师范大学穿山甲人工救护与驯养繁育研究基地搜集到的</w:t>
      </w:r>
      <w:r w:rsidRPr="004B4B01">
        <w:rPr>
          <w:rFonts w:hint="eastAsia"/>
          <w:sz w:val="24"/>
        </w:rPr>
        <w:t>24</w:t>
      </w:r>
      <w:r w:rsidRPr="004B4B01">
        <w:rPr>
          <w:rFonts w:hint="eastAsia"/>
          <w:sz w:val="24"/>
        </w:rPr>
        <w:t>头马来穿山甲孕兽繁殖资料，对该物种的繁殖季节、怀孕期、性成熟年龄、胎仔数、出生性比、哺乳期等繁殖参数进行了分析整理。认为马来穿山甲全年均可繁殖，没有明显的繁殖季节；怀孕期不少于</w:t>
      </w:r>
      <w:r w:rsidRPr="004B4B01">
        <w:rPr>
          <w:rFonts w:hint="eastAsia"/>
          <w:sz w:val="24"/>
        </w:rPr>
        <w:t>158d</w:t>
      </w:r>
      <w:r w:rsidRPr="004B4B01">
        <w:rPr>
          <w:rFonts w:hint="eastAsia"/>
          <w:sz w:val="24"/>
        </w:rPr>
        <w:t>，可能为</w:t>
      </w:r>
      <w:r w:rsidRPr="004B4B01">
        <w:rPr>
          <w:rFonts w:hint="eastAsia"/>
          <w:sz w:val="24"/>
        </w:rPr>
        <w:t>180d</w:t>
      </w:r>
      <w:r w:rsidRPr="004B4B01">
        <w:rPr>
          <w:rFonts w:hint="eastAsia"/>
          <w:sz w:val="24"/>
        </w:rPr>
        <w:t>左右；孕</w:t>
      </w:r>
      <w:proofErr w:type="gramStart"/>
      <w:r w:rsidRPr="004B4B01">
        <w:rPr>
          <w:rFonts w:hint="eastAsia"/>
          <w:sz w:val="24"/>
        </w:rPr>
        <w:t>兽平均</w:t>
      </w:r>
      <w:proofErr w:type="gramEnd"/>
      <w:r w:rsidRPr="004B4B01">
        <w:rPr>
          <w:rFonts w:hint="eastAsia"/>
          <w:sz w:val="24"/>
        </w:rPr>
        <w:t>体重</w:t>
      </w:r>
      <w:r w:rsidRPr="004B4B01">
        <w:rPr>
          <w:rFonts w:hint="eastAsia"/>
          <w:sz w:val="24"/>
        </w:rPr>
        <w:t xml:space="preserve">3.49 </w:t>
      </w:r>
      <w:r w:rsidRPr="004B4B01">
        <w:rPr>
          <w:rFonts w:hint="eastAsia"/>
          <w:sz w:val="24"/>
        </w:rPr>
        <w:sym w:font="Symbol" w:char="F0B1"/>
      </w:r>
      <w:smartTag w:uri="urn:schemas-microsoft-com:office:smarttags" w:element="chmetcnv">
        <w:smartTagPr>
          <w:attr w:name="UnitName" w:val="kg"/>
          <w:attr w:name="SourceValue" w:val="0.9"/>
          <w:attr w:name="HasSpace" w:val="False"/>
          <w:attr w:name="Negative" w:val="False"/>
          <w:attr w:name="NumberType" w:val="1"/>
          <w:attr w:name="TCSC" w:val="0"/>
        </w:smartTagPr>
        <w:r w:rsidRPr="004B4B01">
          <w:rPr>
            <w:rFonts w:hint="eastAsia"/>
            <w:sz w:val="24"/>
          </w:rPr>
          <w:t>0.90kg</w:t>
        </w:r>
      </w:smartTag>
      <w:r w:rsidRPr="004B4B01">
        <w:rPr>
          <w:rFonts w:hint="eastAsia"/>
          <w:sz w:val="24"/>
        </w:rPr>
        <w:t>（</w:t>
      </w:r>
      <w:r w:rsidRPr="004B4B01">
        <w:rPr>
          <w:rFonts w:hint="eastAsia"/>
          <w:sz w:val="24"/>
        </w:rPr>
        <w:t>1.75</w:t>
      </w:r>
      <w:r w:rsidRPr="004B4B01">
        <w:rPr>
          <w:rFonts w:hint="eastAsia"/>
          <w:sz w:val="24"/>
        </w:rPr>
        <w:t>～</w:t>
      </w:r>
      <w:r w:rsidRPr="004B4B01">
        <w:rPr>
          <w:rFonts w:hint="eastAsia"/>
          <w:sz w:val="24"/>
        </w:rPr>
        <w:t>5</w:t>
      </w:r>
      <w:smartTag w:uri="urn:schemas-microsoft-com:office:smarttags" w:element="chmetcnv">
        <w:smartTagPr>
          <w:attr w:name="UnitName" w:val="kg"/>
          <w:attr w:name="SourceValue" w:val="0.54"/>
          <w:attr w:name="HasSpace" w:val="False"/>
          <w:attr w:name="Negative" w:val="False"/>
          <w:attr w:name="NumberType" w:val="1"/>
          <w:attr w:name="TCSC" w:val="0"/>
        </w:smartTagPr>
        <w:r w:rsidRPr="004B4B01">
          <w:rPr>
            <w:rFonts w:hint="eastAsia"/>
            <w:sz w:val="24"/>
          </w:rPr>
          <w:t>.54kg</w:t>
        </w:r>
      </w:smartTag>
      <w:r w:rsidRPr="004B4B01">
        <w:rPr>
          <w:rFonts w:hint="eastAsia"/>
          <w:sz w:val="24"/>
        </w:rPr>
        <w:t>，</w:t>
      </w:r>
      <w:r w:rsidRPr="004B4B01">
        <w:rPr>
          <w:rFonts w:hint="eastAsia"/>
          <w:sz w:val="24"/>
        </w:rPr>
        <w:t>n=24</w:t>
      </w:r>
      <w:r w:rsidRPr="004B4B01">
        <w:rPr>
          <w:rFonts w:hint="eastAsia"/>
          <w:sz w:val="24"/>
        </w:rPr>
        <w:t>），性成熟年龄最小为</w:t>
      </w:r>
      <w:r w:rsidRPr="004B4B01">
        <w:rPr>
          <w:rFonts w:hint="eastAsia"/>
          <w:sz w:val="24"/>
        </w:rPr>
        <w:t>6~7</w:t>
      </w:r>
      <w:r w:rsidRPr="004B4B01">
        <w:rPr>
          <w:rFonts w:hint="eastAsia"/>
          <w:sz w:val="24"/>
        </w:rPr>
        <w:t>月龄，一般为</w:t>
      </w:r>
      <w:r w:rsidRPr="004B4B01">
        <w:rPr>
          <w:rFonts w:hint="eastAsia"/>
          <w:sz w:val="24"/>
        </w:rPr>
        <w:t>10~12</w:t>
      </w:r>
      <w:r w:rsidRPr="004B4B01">
        <w:rPr>
          <w:rFonts w:hint="eastAsia"/>
          <w:sz w:val="24"/>
        </w:rPr>
        <w:t>月龄；每胎产</w:t>
      </w:r>
      <w:r w:rsidRPr="004B4B01">
        <w:rPr>
          <w:rFonts w:hint="eastAsia"/>
          <w:sz w:val="24"/>
        </w:rPr>
        <w:t>1</w:t>
      </w:r>
      <w:r w:rsidRPr="004B4B01">
        <w:rPr>
          <w:rFonts w:hint="eastAsia"/>
          <w:sz w:val="24"/>
        </w:rPr>
        <w:t>仔（</w:t>
      </w:r>
      <w:r w:rsidRPr="004B4B01">
        <w:rPr>
          <w:rFonts w:hint="eastAsia"/>
          <w:sz w:val="24"/>
        </w:rPr>
        <w:t>n=22</w:t>
      </w:r>
      <w:r w:rsidRPr="004B4B01">
        <w:rPr>
          <w:rFonts w:hint="eastAsia"/>
          <w:sz w:val="24"/>
        </w:rPr>
        <w:t>），出生性比为</w:t>
      </w:r>
      <w:r w:rsidRPr="004B4B01">
        <w:rPr>
          <w:rFonts w:hint="eastAsia"/>
          <w:sz w:val="24"/>
        </w:rPr>
        <w:t>1:1</w:t>
      </w:r>
      <w:r w:rsidRPr="004B4B01">
        <w:rPr>
          <w:rFonts w:hint="eastAsia"/>
          <w:sz w:val="24"/>
        </w:rPr>
        <w:t>（</w:t>
      </w:r>
      <w:r w:rsidRPr="004B4B01">
        <w:rPr>
          <w:rFonts w:hint="eastAsia"/>
          <w:sz w:val="24"/>
        </w:rPr>
        <w:t>n=18</w:t>
      </w:r>
      <w:r w:rsidRPr="004B4B01">
        <w:rPr>
          <w:rFonts w:hint="eastAsia"/>
          <w:sz w:val="24"/>
        </w:rPr>
        <w:t>）；哺乳期</w:t>
      </w:r>
      <w:r w:rsidRPr="004B4B01">
        <w:rPr>
          <w:rFonts w:hint="eastAsia"/>
          <w:sz w:val="24"/>
        </w:rPr>
        <w:t>4~5</w:t>
      </w:r>
      <w:r w:rsidRPr="004B4B01">
        <w:rPr>
          <w:rFonts w:hint="eastAsia"/>
          <w:sz w:val="24"/>
        </w:rPr>
        <w:t>个月（</w:t>
      </w:r>
      <w:r w:rsidRPr="004B4B01">
        <w:rPr>
          <w:rFonts w:hint="eastAsia"/>
          <w:sz w:val="24"/>
        </w:rPr>
        <w:t>n=5</w:t>
      </w:r>
      <w:r w:rsidRPr="004B4B01">
        <w:rPr>
          <w:rFonts w:hint="eastAsia"/>
          <w:sz w:val="24"/>
        </w:rPr>
        <w:t>），断奶时仔兽的体重为</w:t>
      </w:r>
      <w:r w:rsidRPr="004B4B01">
        <w:rPr>
          <w:rFonts w:hint="eastAsia"/>
          <w:sz w:val="24"/>
        </w:rPr>
        <w:t>1.56</w:t>
      </w:r>
      <w:r w:rsidRPr="004B4B01">
        <w:rPr>
          <w:rFonts w:hint="eastAsia"/>
          <w:sz w:val="24"/>
        </w:rPr>
        <w:t>±</w:t>
      </w:r>
      <w:smartTag w:uri="urn:schemas-microsoft-com:office:smarttags" w:element="chmetcnv">
        <w:smartTagPr>
          <w:attr w:name="UnitName" w:val="kg"/>
          <w:attr w:name="SourceValue" w:val="0.31"/>
          <w:attr w:name="HasSpace" w:val="False"/>
          <w:attr w:name="Negative" w:val="False"/>
          <w:attr w:name="NumberType" w:val="1"/>
          <w:attr w:name="TCSC" w:val="0"/>
        </w:smartTagPr>
        <w:r w:rsidRPr="004B4B01">
          <w:rPr>
            <w:rFonts w:hint="eastAsia"/>
            <w:sz w:val="24"/>
          </w:rPr>
          <w:t>0.31kg</w:t>
        </w:r>
      </w:smartTag>
      <w:r w:rsidRPr="004B4B01">
        <w:rPr>
          <w:rFonts w:hint="eastAsia"/>
          <w:sz w:val="24"/>
        </w:rPr>
        <w:t>(1.45~1.89kg</w:t>
      </w:r>
      <w:r w:rsidRPr="004B4B01">
        <w:rPr>
          <w:rFonts w:hint="eastAsia"/>
          <w:sz w:val="24"/>
        </w:rPr>
        <w:t>，</w:t>
      </w:r>
      <w:r w:rsidRPr="004B4B01">
        <w:rPr>
          <w:rFonts w:hint="eastAsia"/>
          <w:sz w:val="24"/>
        </w:rPr>
        <w:t>n=5)</w:t>
      </w:r>
      <w:r w:rsidRPr="004B4B01">
        <w:rPr>
          <w:rFonts w:hint="eastAsia"/>
          <w:sz w:val="24"/>
        </w:rPr>
        <w:t>。</w:t>
      </w:r>
    </w:p>
    <w:p w:rsidR="003A5C4C" w:rsidRDefault="003A5C4C" w:rsidP="003A5C4C">
      <w:pPr>
        <w:autoSpaceDE w:val="0"/>
        <w:autoSpaceDN w:val="0"/>
        <w:adjustRightInd w:val="0"/>
        <w:spacing w:line="360" w:lineRule="auto"/>
        <w:jc w:val="center"/>
        <w:rPr>
          <w:rFonts w:hAnsi="宋体" w:hint="eastAsia"/>
          <w:kern w:val="0"/>
          <w:sz w:val="24"/>
        </w:rPr>
      </w:pPr>
      <w:r>
        <w:rPr>
          <w:rFonts w:hAnsi="宋体" w:hint="eastAsia"/>
          <w:kern w:val="0"/>
          <w:sz w:val="24"/>
        </w:rPr>
        <w:t>（</w:t>
      </w:r>
      <w:r w:rsidRPr="006973EE">
        <w:rPr>
          <w:rFonts w:hAnsi="宋体" w:hint="eastAsia"/>
          <w:color w:val="FF0000"/>
          <w:kern w:val="0"/>
          <w:sz w:val="24"/>
        </w:rPr>
        <w:t>短的摘要</w:t>
      </w:r>
      <w:r>
        <w:rPr>
          <w:rFonts w:hAnsi="宋体" w:hint="eastAsia"/>
          <w:color w:val="FF0000"/>
          <w:kern w:val="0"/>
          <w:sz w:val="24"/>
        </w:rPr>
        <w:t>两篇合成</w:t>
      </w:r>
      <w:r w:rsidRPr="006973EE">
        <w:rPr>
          <w:rFonts w:hAnsi="宋体" w:hint="eastAsia"/>
          <w:color w:val="FF0000"/>
          <w:kern w:val="0"/>
          <w:sz w:val="24"/>
        </w:rPr>
        <w:t>一整页面</w:t>
      </w:r>
      <w:r>
        <w:rPr>
          <w:rFonts w:hAnsi="宋体" w:hint="eastAsia"/>
          <w:kern w:val="0"/>
          <w:sz w:val="24"/>
        </w:rPr>
        <w:t>）</w:t>
      </w:r>
    </w:p>
    <w:p w:rsidR="003A5C4C" w:rsidRPr="006973EE" w:rsidRDefault="003A5C4C" w:rsidP="003A5C4C">
      <w:pPr>
        <w:spacing w:line="360" w:lineRule="auto"/>
        <w:rPr>
          <w:rFonts w:hint="eastAsia"/>
          <w:sz w:val="24"/>
        </w:rPr>
      </w:pPr>
    </w:p>
    <w:p w:rsidR="003A5C4C" w:rsidRDefault="003A5C4C" w:rsidP="003A5C4C">
      <w:pPr>
        <w:pStyle w:val="p0"/>
        <w:jc w:val="center"/>
        <w:rPr>
          <w:rFonts w:ascii="黑体" w:eastAsia="黑体" w:hAnsi="黑体" w:cs="黑体"/>
          <w:b/>
          <w:sz w:val="28"/>
          <w:szCs w:val="28"/>
        </w:rPr>
      </w:pPr>
      <w:r>
        <w:rPr>
          <w:rFonts w:ascii="黑体" w:eastAsia="黑体" w:hAnsi="黑体" w:cs="黑体"/>
          <w:bCs/>
          <w:sz w:val="28"/>
          <w:szCs w:val="28"/>
        </w:rPr>
        <w:t>圈养黇鹿（</w:t>
      </w:r>
      <w:proofErr w:type="spellStart"/>
      <w:r>
        <w:rPr>
          <w:rFonts w:eastAsia="黑体" w:hint="default"/>
          <w:bCs/>
          <w:i/>
          <w:iCs/>
          <w:sz w:val="28"/>
          <w:szCs w:val="28"/>
        </w:rPr>
        <w:t>Dama</w:t>
      </w:r>
      <w:proofErr w:type="spellEnd"/>
      <w:r>
        <w:rPr>
          <w:rFonts w:eastAsia="黑体" w:hint="default"/>
          <w:bCs/>
          <w:i/>
          <w:iCs/>
          <w:sz w:val="28"/>
          <w:szCs w:val="28"/>
        </w:rPr>
        <w:t xml:space="preserve"> </w:t>
      </w:r>
      <w:proofErr w:type="spellStart"/>
      <w:r>
        <w:rPr>
          <w:rFonts w:eastAsia="黑体" w:hint="default"/>
          <w:bCs/>
          <w:i/>
          <w:iCs/>
          <w:sz w:val="28"/>
          <w:szCs w:val="28"/>
        </w:rPr>
        <w:t>dama</w:t>
      </w:r>
      <w:proofErr w:type="spellEnd"/>
      <w:r>
        <w:rPr>
          <w:rFonts w:ascii="黑体" w:eastAsia="黑体" w:hAnsi="黑体" w:cs="黑体"/>
          <w:bCs/>
          <w:sz w:val="28"/>
          <w:szCs w:val="28"/>
        </w:rPr>
        <w:t>）对四种常见苗木叶片适口性浅析</w:t>
      </w:r>
    </w:p>
    <w:p w:rsidR="003A5C4C" w:rsidRDefault="003A5C4C" w:rsidP="003A5C4C">
      <w:pPr>
        <w:pStyle w:val="p0"/>
        <w:spacing w:line="360" w:lineRule="auto"/>
        <w:jc w:val="center"/>
        <w:rPr>
          <w:rFonts w:hint="default"/>
          <w:sz w:val="24"/>
          <w:szCs w:val="24"/>
        </w:rPr>
      </w:pPr>
      <w:r>
        <w:rPr>
          <w:rFonts w:eastAsia="仿宋_GB2312"/>
          <w:sz w:val="24"/>
          <w:szCs w:val="24"/>
        </w:rPr>
        <w:t xml:space="preserve">  </w:t>
      </w:r>
      <w:r>
        <w:rPr>
          <w:rFonts w:hint="default"/>
          <w:sz w:val="24"/>
          <w:szCs w:val="24"/>
        </w:rPr>
        <w:t>张鹏骞</w:t>
      </w:r>
      <w:r>
        <w:rPr>
          <w:sz w:val="24"/>
          <w:szCs w:val="24"/>
        </w:rPr>
        <w:t>，</w:t>
      </w:r>
      <w:r>
        <w:rPr>
          <w:rFonts w:hint="default"/>
          <w:sz w:val="24"/>
          <w:szCs w:val="24"/>
        </w:rPr>
        <w:t>张林源</w:t>
      </w:r>
      <w:r>
        <w:rPr>
          <w:sz w:val="24"/>
          <w:szCs w:val="24"/>
        </w:rPr>
        <w:t>，</w:t>
      </w:r>
      <w:r>
        <w:rPr>
          <w:rFonts w:hint="default"/>
          <w:sz w:val="24"/>
          <w:szCs w:val="24"/>
        </w:rPr>
        <w:t>钟震宇</w:t>
      </w:r>
      <w:r>
        <w:rPr>
          <w:sz w:val="24"/>
          <w:szCs w:val="24"/>
          <w:vertAlign w:val="superscript"/>
        </w:rPr>
        <w:t>*</w:t>
      </w:r>
      <w:r>
        <w:rPr>
          <w:sz w:val="24"/>
          <w:szCs w:val="24"/>
        </w:rPr>
        <w:t>，</w:t>
      </w:r>
      <w:r>
        <w:rPr>
          <w:rFonts w:hint="default"/>
          <w:sz w:val="24"/>
          <w:szCs w:val="24"/>
        </w:rPr>
        <w:t>王丽斌</w:t>
      </w:r>
    </w:p>
    <w:p w:rsidR="003A5C4C" w:rsidRDefault="003A5C4C" w:rsidP="003A5C4C">
      <w:pPr>
        <w:pStyle w:val="p0"/>
        <w:spacing w:line="360" w:lineRule="auto"/>
        <w:jc w:val="center"/>
        <w:rPr>
          <w:rFonts w:eastAsia="仿宋_GB2312"/>
          <w:sz w:val="24"/>
          <w:szCs w:val="24"/>
        </w:rPr>
      </w:pPr>
      <w:r>
        <w:rPr>
          <w:rFonts w:hint="default"/>
          <w:sz w:val="24"/>
          <w:szCs w:val="24"/>
        </w:rPr>
        <w:t>（北京麋鹿生态实验中心，北京，</w:t>
      </w:r>
      <w:r>
        <w:rPr>
          <w:rFonts w:hint="default"/>
          <w:sz w:val="24"/>
          <w:szCs w:val="24"/>
        </w:rPr>
        <w:t>100076</w:t>
      </w:r>
      <w:r>
        <w:rPr>
          <w:rFonts w:hint="default"/>
          <w:sz w:val="24"/>
          <w:szCs w:val="24"/>
        </w:rPr>
        <w:t>）</w:t>
      </w:r>
    </w:p>
    <w:p w:rsidR="003A5C4C" w:rsidRPr="004B4B01" w:rsidRDefault="003A5C4C" w:rsidP="003A5C4C">
      <w:pPr>
        <w:spacing w:line="360" w:lineRule="auto"/>
        <w:jc w:val="center"/>
        <w:rPr>
          <w:rFonts w:hint="eastAsia"/>
          <w:sz w:val="24"/>
        </w:rPr>
      </w:pPr>
      <w:r w:rsidRPr="004B4B01">
        <w:rPr>
          <w:rFonts w:hint="eastAsia"/>
          <w:sz w:val="24"/>
        </w:rPr>
        <w:t>*</w:t>
      </w:r>
      <w:r w:rsidRPr="004B4B01">
        <w:rPr>
          <w:rFonts w:hint="eastAsia"/>
          <w:sz w:val="24"/>
        </w:rPr>
        <w:t>通讯作者：</w:t>
      </w:r>
      <w:r w:rsidRPr="006973EE">
        <w:rPr>
          <w:rFonts w:hint="eastAsia"/>
          <w:sz w:val="24"/>
        </w:rPr>
        <w:t>zhyzh@milupark.org.cn</w:t>
      </w:r>
    </w:p>
    <w:p w:rsidR="003A5C4C" w:rsidRPr="006973EE" w:rsidRDefault="003A5C4C" w:rsidP="003A5C4C">
      <w:pPr>
        <w:pStyle w:val="p0"/>
        <w:jc w:val="center"/>
        <w:rPr>
          <w:rFonts w:eastAsia="仿宋_GB2312"/>
          <w:sz w:val="24"/>
          <w:szCs w:val="24"/>
        </w:rPr>
      </w:pPr>
    </w:p>
    <w:p w:rsidR="003A5C4C" w:rsidRDefault="003A5C4C" w:rsidP="003A5C4C">
      <w:pPr>
        <w:pStyle w:val="p0"/>
        <w:spacing w:line="360" w:lineRule="auto"/>
        <w:ind w:firstLineChars="200" w:firstLine="480"/>
        <w:rPr>
          <w:rFonts w:hint="default"/>
          <w:sz w:val="24"/>
          <w:szCs w:val="24"/>
        </w:rPr>
      </w:pPr>
      <w:r>
        <w:rPr>
          <w:rFonts w:hint="default"/>
          <w:sz w:val="24"/>
          <w:szCs w:val="24"/>
        </w:rPr>
        <w:t>本研究以黇鹿为实验对象，选取北方常见榆树、刺槐、垂柳及毛白杨等</w:t>
      </w:r>
      <w:r>
        <w:rPr>
          <w:rFonts w:hint="default"/>
          <w:sz w:val="24"/>
          <w:szCs w:val="24"/>
        </w:rPr>
        <w:t>4</w:t>
      </w:r>
      <w:r>
        <w:rPr>
          <w:rFonts w:hint="default"/>
          <w:sz w:val="24"/>
          <w:szCs w:val="24"/>
        </w:rPr>
        <w:t>种树种新鲜叶片作为饲料，对其适口性进行分析。通过对黇鹿采食量及叶片干物质含量</w:t>
      </w:r>
      <w:r>
        <w:rPr>
          <w:rFonts w:hint="default"/>
          <w:sz w:val="24"/>
          <w:szCs w:val="24"/>
        </w:rPr>
        <w:t>(DM%)</w:t>
      </w:r>
      <w:r>
        <w:rPr>
          <w:rFonts w:hint="default"/>
          <w:sz w:val="24"/>
          <w:szCs w:val="24"/>
        </w:rPr>
        <w:t>、粗蛋白质含量</w:t>
      </w:r>
      <w:r>
        <w:rPr>
          <w:rFonts w:hint="default"/>
          <w:sz w:val="24"/>
          <w:szCs w:val="24"/>
        </w:rPr>
        <w:t>(CP%)</w:t>
      </w:r>
      <w:r>
        <w:rPr>
          <w:rFonts w:hint="default"/>
          <w:sz w:val="24"/>
          <w:szCs w:val="24"/>
        </w:rPr>
        <w:t>、酸性洗涤木质素</w:t>
      </w:r>
      <w:r>
        <w:rPr>
          <w:rFonts w:hint="default"/>
          <w:sz w:val="24"/>
          <w:szCs w:val="24"/>
        </w:rPr>
        <w:t>(ADL%)</w:t>
      </w:r>
      <w:r>
        <w:rPr>
          <w:rFonts w:hint="default"/>
          <w:sz w:val="24"/>
          <w:szCs w:val="24"/>
        </w:rPr>
        <w:t>、酸洗纤维</w:t>
      </w:r>
      <w:r>
        <w:rPr>
          <w:rFonts w:hint="default"/>
          <w:sz w:val="24"/>
          <w:szCs w:val="24"/>
        </w:rPr>
        <w:t>(ADF%)</w:t>
      </w:r>
      <w:r>
        <w:rPr>
          <w:rFonts w:hint="default"/>
          <w:sz w:val="24"/>
          <w:szCs w:val="24"/>
        </w:rPr>
        <w:t>、中洗纤维</w:t>
      </w:r>
      <w:r>
        <w:rPr>
          <w:rFonts w:hint="default"/>
          <w:sz w:val="24"/>
          <w:szCs w:val="24"/>
        </w:rPr>
        <w:t>(NDF%)</w:t>
      </w:r>
      <w:r>
        <w:rPr>
          <w:rFonts w:hint="default"/>
          <w:sz w:val="24"/>
          <w:szCs w:val="24"/>
        </w:rPr>
        <w:t>进行测定，发现黇鹿在试验期间对叶片的选择为榆树叶＞刺槐叶＞垂柳叶＞毛白杨＞紫花苜蓿；影响其对叶片选择的因素是多种多样的，但</w:t>
      </w:r>
      <w:r>
        <w:rPr>
          <w:rFonts w:hint="default"/>
          <w:sz w:val="24"/>
          <w:szCs w:val="24"/>
        </w:rPr>
        <w:t>NDF</w:t>
      </w:r>
      <w:r>
        <w:rPr>
          <w:rFonts w:hint="default"/>
          <w:sz w:val="24"/>
          <w:szCs w:val="24"/>
        </w:rPr>
        <w:t>含量与采食量成正比，</w:t>
      </w:r>
      <w:r>
        <w:rPr>
          <w:rFonts w:hint="default"/>
          <w:sz w:val="24"/>
          <w:szCs w:val="24"/>
        </w:rPr>
        <w:t>ADF</w:t>
      </w:r>
      <w:r>
        <w:rPr>
          <w:rFonts w:hint="default"/>
          <w:sz w:val="24"/>
          <w:szCs w:val="24"/>
        </w:rPr>
        <w:t>含量与采食量亦成正比。</w:t>
      </w:r>
    </w:p>
    <w:p w:rsidR="003A5C4C" w:rsidRPr="003A5C4C" w:rsidRDefault="003A5C4C"/>
    <w:sectPr w:rsidR="003A5C4C" w:rsidRPr="003A5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4C"/>
    <w:rsid w:val="003A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312CC97-1D57-463A-8841-5D6FFBB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C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A5C4C"/>
    <w:rPr>
      <w:i/>
      <w:iCs/>
    </w:rPr>
  </w:style>
  <w:style w:type="paragraph" w:customStyle="1" w:styleId="p0">
    <w:name w:val="p0"/>
    <w:basedOn w:val="a"/>
    <w:rsid w:val="003A5C4C"/>
    <w:pPr>
      <w:widowControl/>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ehan@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2018-07-20T01:32:00Z</dcterms:created>
  <dcterms:modified xsi:type="dcterms:W3CDTF">2018-07-20T01:32:00Z</dcterms:modified>
</cp:coreProperties>
</file>